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342" w:type="dxa"/>
        <w:tblCellMar>
          <w:left w:w="0" w:type="dxa"/>
          <w:right w:w="0" w:type="dxa"/>
        </w:tblCellMar>
        <w:tblLook w:val="04A0" w:firstRow="1" w:lastRow="0" w:firstColumn="1" w:lastColumn="0" w:noHBand="0" w:noVBand="1"/>
      </w:tblPr>
      <w:tblGrid>
        <w:gridCol w:w="2954"/>
        <w:gridCol w:w="6892"/>
      </w:tblGrid>
      <w:tr w:rsidR="00E77964" w:rsidRPr="00E77964" w:rsidTr="00E77964">
        <w:tc>
          <w:tcPr>
            <w:tcW w:w="1500" w:type="pct"/>
            <w:tcMar>
              <w:top w:w="0" w:type="dxa"/>
              <w:left w:w="108" w:type="dxa"/>
              <w:bottom w:w="0" w:type="dxa"/>
              <w:right w:w="108" w:type="dxa"/>
            </w:tcMar>
            <w:hideMark/>
          </w:tcPr>
          <w:p w:rsidR="00E77964" w:rsidRPr="00E77964" w:rsidRDefault="00E77964" w:rsidP="00E77964">
            <w:pPr>
              <w:spacing w:before="90" w:after="90"/>
              <w:jc w:val="center"/>
            </w:pPr>
            <w:r w:rsidRPr="00E77964">
              <w:rPr>
                <w:rFonts w:ascii="Arial" w:hAnsi="Arial" w:cs="Arial"/>
                <w:b/>
                <w:bCs/>
                <w:sz w:val="20"/>
                <w:szCs w:val="20"/>
              </w:rPr>
              <w:t>ỦY BAN NHÂN DÂN</w:t>
            </w:r>
            <w:r w:rsidRPr="00E77964">
              <w:rPr>
                <w:rFonts w:ascii="Arial" w:hAnsi="Arial" w:cs="Arial"/>
                <w:b/>
                <w:bCs/>
                <w:sz w:val="20"/>
                <w:szCs w:val="20"/>
              </w:rPr>
              <w:br/>
              <w:t>THÀNH PHỐ HỒ CHÍ MINH</w:t>
            </w:r>
          </w:p>
          <w:p w:rsidR="00E77964" w:rsidRPr="00E77964" w:rsidRDefault="00E77964" w:rsidP="00E77964">
            <w:pPr>
              <w:spacing w:before="90" w:after="90"/>
              <w:jc w:val="center"/>
            </w:pPr>
            <w:r w:rsidRPr="00E77964">
              <w:rPr>
                <w:rFonts w:ascii="Arial" w:hAnsi="Arial" w:cs="Arial"/>
                <w:b/>
                <w:bCs/>
                <w:sz w:val="20"/>
                <w:szCs w:val="20"/>
              </w:rPr>
              <w:t>________</w:t>
            </w:r>
          </w:p>
          <w:p w:rsidR="00E77964" w:rsidRPr="00E77964" w:rsidRDefault="00E77964" w:rsidP="00E77964">
            <w:pPr>
              <w:spacing w:before="90" w:after="90"/>
              <w:jc w:val="center"/>
            </w:pPr>
            <w:r w:rsidRPr="00E77964">
              <w:rPr>
                <w:rFonts w:ascii="Arial" w:hAnsi="Arial" w:cs="Arial"/>
                <w:sz w:val="20"/>
                <w:szCs w:val="20"/>
              </w:rPr>
              <w:t>Số: 39/2011/QĐ-UBND</w:t>
            </w:r>
          </w:p>
        </w:tc>
        <w:tc>
          <w:tcPr>
            <w:tcW w:w="3500" w:type="pct"/>
            <w:tcMar>
              <w:top w:w="0" w:type="dxa"/>
              <w:left w:w="108" w:type="dxa"/>
              <w:bottom w:w="0" w:type="dxa"/>
              <w:right w:w="108" w:type="dxa"/>
            </w:tcMar>
            <w:hideMark/>
          </w:tcPr>
          <w:p w:rsidR="00E77964" w:rsidRPr="00E77964" w:rsidRDefault="00E77964" w:rsidP="00E77964">
            <w:pPr>
              <w:spacing w:before="90" w:after="90"/>
              <w:jc w:val="center"/>
            </w:pPr>
            <w:r w:rsidRPr="00E77964">
              <w:rPr>
                <w:rFonts w:ascii="Arial" w:hAnsi="Arial" w:cs="Arial"/>
                <w:b/>
                <w:bCs/>
                <w:sz w:val="20"/>
                <w:szCs w:val="20"/>
              </w:rPr>
              <w:t>CỘNG HÒA XÃ HỘI CHỦ NGHĨA VIỆT NAM</w:t>
            </w:r>
            <w:r w:rsidRPr="00E77964">
              <w:rPr>
                <w:rFonts w:ascii="Arial" w:hAnsi="Arial" w:cs="Arial"/>
                <w:b/>
                <w:bCs/>
                <w:sz w:val="20"/>
                <w:szCs w:val="20"/>
              </w:rPr>
              <w:br/>
              <w:t>Độc lập - Tự do - Hạnh phúc</w:t>
            </w:r>
            <w:r w:rsidRPr="00E77964">
              <w:rPr>
                <w:rFonts w:ascii="Arial" w:hAnsi="Arial" w:cs="Arial"/>
                <w:b/>
                <w:bCs/>
                <w:sz w:val="20"/>
                <w:szCs w:val="20"/>
              </w:rPr>
              <w:br/>
              <w:t>______________</w:t>
            </w:r>
          </w:p>
          <w:p w:rsidR="00E77964" w:rsidRPr="00E77964" w:rsidRDefault="00E77964" w:rsidP="00E77964">
            <w:pPr>
              <w:spacing w:before="90" w:after="90"/>
              <w:jc w:val="center"/>
            </w:pPr>
            <w:r w:rsidRPr="00E77964">
              <w:rPr>
                <w:rFonts w:ascii="Arial" w:hAnsi="Arial" w:cs="Arial"/>
                <w:i/>
                <w:iCs/>
                <w:sz w:val="20"/>
                <w:szCs w:val="20"/>
              </w:rPr>
              <w:t>Thành phố Hồ Chí Minh, ngày 13 tháng 6 năm 2011</w:t>
            </w:r>
          </w:p>
        </w:tc>
      </w:tr>
    </w:tbl>
    <w:p w:rsidR="00E77964" w:rsidRPr="00E77964" w:rsidRDefault="00E77964" w:rsidP="00E77964">
      <w:pPr>
        <w:spacing w:before="90" w:after="90"/>
        <w:jc w:val="center"/>
        <w:outlineLvl w:val="4"/>
        <w:rPr>
          <w:b/>
          <w:bCs/>
          <w:sz w:val="20"/>
          <w:szCs w:val="20"/>
        </w:rPr>
      </w:pPr>
      <w:r w:rsidRPr="00E77964">
        <w:rPr>
          <w:rFonts w:ascii="Arial" w:hAnsi="Arial" w:cs="Arial"/>
          <w:b/>
          <w:bCs/>
          <w:sz w:val="20"/>
          <w:szCs w:val="20"/>
          <w:lang w:val="pt-BR"/>
        </w:rPr>
        <w:t> </w:t>
      </w:r>
    </w:p>
    <w:p w:rsidR="00E77964" w:rsidRPr="00E77964" w:rsidRDefault="00E77964" w:rsidP="00E77964">
      <w:pPr>
        <w:spacing w:before="90" w:after="90"/>
        <w:jc w:val="center"/>
        <w:outlineLvl w:val="4"/>
        <w:rPr>
          <w:b/>
          <w:bCs/>
          <w:sz w:val="20"/>
          <w:szCs w:val="20"/>
        </w:rPr>
      </w:pPr>
      <w:r w:rsidRPr="00E77964">
        <w:rPr>
          <w:rFonts w:ascii="Arial" w:hAnsi="Arial" w:cs="Arial"/>
          <w:b/>
          <w:bCs/>
          <w:sz w:val="20"/>
          <w:szCs w:val="20"/>
          <w:lang w:val="pt-BR"/>
        </w:rPr>
        <w:t>QUYẾT ĐỊNH</w:t>
      </w:r>
    </w:p>
    <w:p w:rsidR="00E77964" w:rsidRPr="00E77964" w:rsidRDefault="00E77964" w:rsidP="00E77964">
      <w:pPr>
        <w:spacing w:before="90" w:after="90"/>
        <w:jc w:val="center"/>
      </w:pPr>
      <w:r w:rsidRPr="00E77964">
        <w:rPr>
          <w:rFonts w:ascii="Arial" w:hAnsi="Arial" w:cs="Arial"/>
          <w:b/>
          <w:bCs/>
          <w:sz w:val="20"/>
          <w:szCs w:val="20"/>
          <w:lang w:val="pt-BR"/>
        </w:rPr>
        <w:t xml:space="preserve">Về điều chỉnh mức thu phí sử dụng dịch vụ đường bộ </w:t>
      </w:r>
    </w:p>
    <w:p w:rsidR="00E77964" w:rsidRPr="00E77964" w:rsidRDefault="00E77964" w:rsidP="00E77964">
      <w:pPr>
        <w:spacing w:before="90" w:after="90"/>
        <w:jc w:val="center"/>
      </w:pPr>
      <w:r w:rsidRPr="00E77964">
        <w:rPr>
          <w:rFonts w:ascii="Arial" w:hAnsi="Arial" w:cs="Arial"/>
          <w:b/>
          <w:bCs/>
          <w:sz w:val="20"/>
          <w:szCs w:val="20"/>
          <w:lang w:val="pt-BR"/>
        </w:rPr>
        <w:t>tại trạm thu phí cầu Bình Triệu 2</w:t>
      </w:r>
    </w:p>
    <w:p w:rsidR="00E77964" w:rsidRPr="00E77964" w:rsidRDefault="00E77964" w:rsidP="00E77964">
      <w:pPr>
        <w:spacing w:before="90" w:after="90"/>
        <w:jc w:val="center"/>
      </w:pPr>
      <w:r w:rsidRPr="00E77964">
        <w:rPr>
          <w:rFonts w:ascii="Arial" w:hAnsi="Arial" w:cs="Arial"/>
          <w:b/>
          <w:bCs/>
          <w:sz w:val="20"/>
          <w:szCs w:val="20"/>
          <w:lang w:val="pt-BR"/>
        </w:rPr>
        <w:t>____________________</w:t>
      </w:r>
    </w:p>
    <w:p w:rsidR="00E77964" w:rsidRPr="00E77964" w:rsidRDefault="00E77964" w:rsidP="00E77964">
      <w:pPr>
        <w:spacing w:before="90" w:after="90"/>
        <w:jc w:val="center"/>
      </w:pPr>
      <w:r w:rsidRPr="00E77964">
        <w:t> </w:t>
      </w:r>
    </w:p>
    <w:p w:rsidR="00E77964" w:rsidRPr="00E77964" w:rsidRDefault="00E77964" w:rsidP="00E77964">
      <w:pPr>
        <w:spacing w:before="90" w:after="90"/>
        <w:jc w:val="center"/>
        <w:outlineLvl w:val="4"/>
        <w:rPr>
          <w:b/>
          <w:bCs/>
          <w:sz w:val="20"/>
          <w:szCs w:val="20"/>
        </w:rPr>
      </w:pPr>
      <w:r w:rsidRPr="00E77964">
        <w:rPr>
          <w:rFonts w:ascii="Arial" w:hAnsi="Arial" w:cs="Arial"/>
          <w:b/>
          <w:bCs/>
          <w:sz w:val="20"/>
          <w:szCs w:val="20"/>
          <w:lang w:val="pt-BR"/>
        </w:rPr>
        <w:t>ỦY BAN NHÂN DÂN THÀNH PHỐ HỒ CHÍ MINH</w:t>
      </w:r>
    </w:p>
    <w:p w:rsidR="00E77964" w:rsidRPr="00E77964" w:rsidRDefault="00E77964" w:rsidP="00E77964">
      <w:pPr>
        <w:spacing w:before="90" w:after="90"/>
        <w:jc w:val="center"/>
      </w:pPr>
      <w:r w:rsidRPr="00E77964">
        <w:t> </w:t>
      </w:r>
    </w:p>
    <w:p w:rsidR="00E77964" w:rsidRPr="00E77964" w:rsidRDefault="00E77964" w:rsidP="00E77964">
      <w:pPr>
        <w:spacing w:before="90" w:after="90"/>
        <w:jc w:val="both"/>
      </w:pPr>
      <w:r w:rsidRPr="00E77964">
        <w:rPr>
          <w:rFonts w:ascii="Arial" w:hAnsi="Arial" w:cs="Arial"/>
          <w:sz w:val="20"/>
          <w:szCs w:val="20"/>
        </w:rPr>
        <w:t xml:space="preserve">Căn cứ Luật Tổ chức Hội đồng nhân dân và Ủy ban nhân dân ngày 26 tháng 11 năm 2003; </w:t>
      </w:r>
    </w:p>
    <w:p w:rsidR="00E77964" w:rsidRPr="00E77964" w:rsidRDefault="00E77964" w:rsidP="00E77964">
      <w:pPr>
        <w:spacing w:before="90" w:after="90"/>
        <w:jc w:val="both"/>
      </w:pPr>
      <w:r w:rsidRPr="00E77964">
        <w:rPr>
          <w:rFonts w:ascii="Arial" w:hAnsi="Arial" w:cs="Arial"/>
          <w:sz w:val="20"/>
          <w:szCs w:val="20"/>
        </w:rPr>
        <w:t> Căn cứ Pháp lệnh Phí và lệ phí ngày 28 tháng 8 năm 2001;</w:t>
      </w:r>
    </w:p>
    <w:p w:rsidR="00E77964" w:rsidRPr="00E77964" w:rsidRDefault="00E77964" w:rsidP="00E77964">
      <w:pPr>
        <w:spacing w:before="90" w:after="90"/>
        <w:jc w:val="both"/>
      </w:pPr>
      <w:r w:rsidRPr="00E77964">
        <w:rPr>
          <w:rFonts w:ascii="Arial" w:hAnsi="Arial" w:cs="Arial"/>
          <w:sz w:val="20"/>
          <w:szCs w:val="20"/>
        </w:rPr>
        <w:t xml:space="preserve">Căn cứ Nghị định số 57/2002/NĐ-CP ngày 03 </w:t>
      </w:r>
      <w:r w:rsidRPr="00E77964">
        <w:rPr>
          <w:rFonts w:ascii="Arial" w:hAnsi="Arial" w:cs="Arial"/>
          <w:sz w:val="20"/>
          <w:szCs w:val="20"/>
          <w:lang w:val="fr-FR"/>
        </w:rPr>
        <w:t xml:space="preserve">tháng </w:t>
      </w:r>
      <w:r w:rsidRPr="00E77964">
        <w:rPr>
          <w:rFonts w:ascii="Arial" w:hAnsi="Arial" w:cs="Arial"/>
          <w:sz w:val="20"/>
          <w:szCs w:val="20"/>
        </w:rPr>
        <w:t xml:space="preserve">6 năm 2002 của Chính phủ quy định chi tiết thi hành Pháp lệnh Phí và lệ phí; </w:t>
      </w:r>
    </w:p>
    <w:p w:rsidR="00E77964" w:rsidRPr="00E77964" w:rsidRDefault="00E77964" w:rsidP="00E77964">
      <w:pPr>
        <w:spacing w:before="90" w:after="90"/>
        <w:jc w:val="both"/>
      </w:pPr>
      <w:r w:rsidRPr="00E77964">
        <w:rPr>
          <w:rFonts w:ascii="Arial" w:hAnsi="Arial" w:cs="Arial"/>
          <w:sz w:val="20"/>
          <w:szCs w:val="20"/>
        </w:rPr>
        <w:t xml:space="preserve">Căn cứ Nghị định số 24/2006/NĐ-CP ngày 06 </w:t>
      </w:r>
      <w:r w:rsidRPr="00E77964">
        <w:rPr>
          <w:rFonts w:ascii="Arial" w:hAnsi="Arial" w:cs="Arial"/>
          <w:sz w:val="20"/>
          <w:szCs w:val="20"/>
          <w:lang w:val="fr-FR"/>
        </w:rPr>
        <w:t xml:space="preserve">tháng </w:t>
      </w:r>
      <w:r w:rsidRPr="00E77964">
        <w:rPr>
          <w:rFonts w:ascii="Arial" w:hAnsi="Arial" w:cs="Arial"/>
          <w:sz w:val="20"/>
          <w:szCs w:val="20"/>
        </w:rPr>
        <w:t xml:space="preserve">3 năm 2006 của Chính phủ sửa đổi, bổ sung một số điều của Nghị định số 57/2002/NĐ-CP ngày 03 </w:t>
      </w:r>
      <w:r w:rsidRPr="00E77964">
        <w:rPr>
          <w:rFonts w:ascii="Arial" w:hAnsi="Arial" w:cs="Arial"/>
          <w:sz w:val="20"/>
          <w:szCs w:val="20"/>
          <w:lang w:val="fr-FR"/>
        </w:rPr>
        <w:t xml:space="preserve">tháng </w:t>
      </w:r>
      <w:r w:rsidRPr="00E77964">
        <w:rPr>
          <w:rFonts w:ascii="Arial" w:hAnsi="Arial" w:cs="Arial"/>
          <w:sz w:val="20"/>
          <w:szCs w:val="20"/>
        </w:rPr>
        <w:t xml:space="preserve">6 năm 2002 của Chính phủ quy định chi tiết thi hành Pháp lệnh Phí và lệ phí; </w:t>
      </w:r>
    </w:p>
    <w:p w:rsidR="00E77964" w:rsidRPr="00E77964" w:rsidRDefault="00E77964" w:rsidP="00E77964">
      <w:pPr>
        <w:spacing w:before="90" w:after="90"/>
        <w:jc w:val="both"/>
      </w:pPr>
      <w:r w:rsidRPr="00E77964">
        <w:rPr>
          <w:rFonts w:ascii="Arial" w:hAnsi="Arial" w:cs="Arial"/>
          <w:sz w:val="20"/>
          <w:szCs w:val="20"/>
        </w:rPr>
        <w:t xml:space="preserve">Căn cứ Thông tư số 90/2004/TT-BTC ngày 07 </w:t>
      </w:r>
      <w:r w:rsidRPr="00E77964">
        <w:rPr>
          <w:rFonts w:ascii="Arial" w:hAnsi="Arial" w:cs="Arial"/>
          <w:sz w:val="20"/>
          <w:szCs w:val="20"/>
          <w:lang w:val="fr-FR"/>
        </w:rPr>
        <w:t xml:space="preserve">tháng </w:t>
      </w:r>
      <w:r w:rsidRPr="00E77964">
        <w:rPr>
          <w:rFonts w:ascii="Arial" w:hAnsi="Arial" w:cs="Arial"/>
          <w:sz w:val="20"/>
          <w:szCs w:val="20"/>
        </w:rPr>
        <w:t>9 năm 2004 của Bộ Tài chính hướng dẫn chế độ thu, nộp, quản lý và sử dụng phí sử dụng đường bộ;</w:t>
      </w:r>
    </w:p>
    <w:p w:rsidR="00E77964" w:rsidRPr="00E77964" w:rsidRDefault="00E77964" w:rsidP="00E77964">
      <w:pPr>
        <w:spacing w:before="90" w:after="90"/>
        <w:jc w:val="both"/>
      </w:pPr>
      <w:r w:rsidRPr="00E77964">
        <w:rPr>
          <w:rFonts w:ascii="Arial" w:hAnsi="Arial" w:cs="Arial"/>
          <w:sz w:val="20"/>
          <w:szCs w:val="20"/>
        </w:rPr>
        <w:t xml:space="preserve">Căn cứ Thông tư số 97/2006/TT-BTC ngày 16 </w:t>
      </w:r>
      <w:r w:rsidRPr="00E77964">
        <w:rPr>
          <w:rFonts w:ascii="Arial" w:hAnsi="Arial" w:cs="Arial"/>
          <w:sz w:val="20"/>
          <w:szCs w:val="20"/>
          <w:lang w:val="fr-FR"/>
        </w:rPr>
        <w:t xml:space="preserve">tháng </w:t>
      </w:r>
      <w:r w:rsidRPr="00E77964">
        <w:rPr>
          <w:rFonts w:ascii="Arial" w:hAnsi="Arial" w:cs="Arial"/>
          <w:sz w:val="20"/>
          <w:szCs w:val="20"/>
        </w:rPr>
        <w:t>10 năm 2006 của Bộ Tài chính hướng dẫn về phí và lệ phí thuộc thẩm quyền quyết định của Hội đồng nhân dân tỉnh, thành phố trực thuộc Trung ương;</w:t>
      </w:r>
    </w:p>
    <w:p w:rsidR="00E77964" w:rsidRPr="00E77964" w:rsidRDefault="00E77964" w:rsidP="00E77964">
      <w:pPr>
        <w:spacing w:before="90" w:after="90"/>
        <w:jc w:val="both"/>
      </w:pPr>
      <w:r w:rsidRPr="00E77964">
        <w:rPr>
          <w:rFonts w:ascii="Arial" w:hAnsi="Arial" w:cs="Arial"/>
          <w:sz w:val="20"/>
          <w:szCs w:val="20"/>
        </w:rPr>
        <w:t>Căn cứ Nghị quyết số 03/2011/NQ-HĐND ngày 28 tháng 4 năm 2011 của Hội đồng nhân dân thành phố Hồ Chí Minh về điều chỉnh mức thu phí sử dụng dịch vụ đường bộ tại trạm thu phí cầu Bình Triệu 2;</w:t>
      </w:r>
    </w:p>
    <w:p w:rsidR="00E77964" w:rsidRPr="00E77964" w:rsidRDefault="00E77964" w:rsidP="00E77964">
      <w:pPr>
        <w:spacing w:before="90" w:after="90"/>
        <w:jc w:val="both"/>
      </w:pPr>
      <w:r w:rsidRPr="00E77964">
        <w:rPr>
          <w:rFonts w:ascii="Arial" w:hAnsi="Arial" w:cs="Arial"/>
          <w:sz w:val="20"/>
          <w:szCs w:val="20"/>
        </w:rPr>
        <w:t xml:space="preserve">Xét đề nghị của Sở Tài chính tại Công văn số 4909/STC-ĐTSC ngày 24 </w:t>
      </w:r>
      <w:r w:rsidRPr="00E77964">
        <w:rPr>
          <w:rFonts w:ascii="Arial" w:hAnsi="Arial" w:cs="Arial"/>
          <w:sz w:val="20"/>
          <w:szCs w:val="20"/>
          <w:lang w:val="fr-FR"/>
        </w:rPr>
        <w:t>tháng</w:t>
      </w:r>
      <w:r w:rsidRPr="00E77964">
        <w:rPr>
          <w:rFonts w:ascii="Arial" w:hAnsi="Arial" w:cs="Arial"/>
          <w:sz w:val="20"/>
          <w:szCs w:val="20"/>
        </w:rPr>
        <w:t xml:space="preserve"> 5 năm 2011,</w:t>
      </w:r>
    </w:p>
    <w:p w:rsidR="00E77964" w:rsidRPr="00E77964" w:rsidRDefault="00E77964" w:rsidP="00E77964">
      <w:pPr>
        <w:spacing w:before="90" w:after="90"/>
        <w:jc w:val="both"/>
      </w:pPr>
      <w:r w:rsidRPr="00E77964">
        <w:t> </w:t>
      </w:r>
    </w:p>
    <w:p w:rsidR="00E77964" w:rsidRPr="00E77964" w:rsidRDefault="00E77964" w:rsidP="00E77964">
      <w:pPr>
        <w:spacing w:before="90" w:after="90"/>
        <w:jc w:val="center"/>
      </w:pPr>
      <w:r w:rsidRPr="00E77964">
        <w:rPr>
          <w:rFonts w:ascii="Arial" w:hAnsi="Arial" w:cs="Arial"/>
          <w:b/>
          <w:bCs/>
          <w:sz w:val="20"/>
          <w:szCs w:val="20"/>
          <w:lang w:val="pt-BR"/>
        </w:rPr>
        <w:t>QUYẾT ĐỊNH:</w:t>
      </w:r>
    </w:p>
    <w:p w:rsidR="00E77964" w:rsidRPr="00E77964" w:rsidRDefault="00E77964" w:rsidP="00E77964">
      <w:pPr>
        <w:spacing w:before="90" w:after="90"/>
        <w:jc w:val="center"/>
      </w:pPr>
      <w:r w:rsidRPr="00E77964">
        <w:t> </w:t>
      </w:r>
    </w:p>
    <w:p w:rsidR="00E77964" w:rsidRPr="00E77964" w:rsidRDefault="00E77964" w:rsidP="00E77964">
      <w:pPr>
        <w:spacing w:before="90" w:after="90"/>
        <w:jc w:val="both"/>
      </w:pPr>
      <w:r w:rsidRPr="00E77964">
        <w:rPr>
          <w:rFonts w:ascii="Arial" w:hAnsi="Arial" w:cs="Arial"/>
          <w:b/>
          <w:bCs/>
          <w:sz w:val="20"/>
          <w:szCs w:val="20"/>
          <w:lang w:val="pt-BR"/>
        </w:rPr>
        <w:t>Điều 1.</w:t>
      </w:r>
      <w:r w:rsidRPr="00E77964">
        <w:rPr>
          <w:rFonts w:ascii="Arial" w:hAnsi="Arial" w:cs="Arial"/>
          <w:sz w:val="20"/>
          <w:szCs w:val="20"/>
          <w:lang w:val="pt-BR"/>
        </w:rPr>
        <w:t xml:space="preserve"> Điều chỉnh mức thu phí sử dụng dịch vụ đường bộ tại trạm thu phí cầu Bình Triệu 2 </w:t>
      </w:r>
      <w:r w:rsidRPr="00E77964">
        <w:rPr>
          <w:rFonts w:ascii="Arial" w:hAnsi="Arial" w:cs="Arial"/>
          <w:sz w:val="20"/>
          <w:szCs w:val="20"/>
        </w:rPr>
        <w:t xml:space="preserve">theo quy định tại Thông tư số 90/2004/TT-BTC ngày 07 </w:t>
      </w:r>
      <w:r w:rsidRPr="00E77964">
        <w:rPr>
          <w:rFonts w:ascii="Arial" w:hAnsi="Arial" w:cs="Arial"/>
          <w:sz w:val="20"/>
          <w:szCs w:val="20"/>
          <w:lang w:val="fr-FR"/>
        </w:rPr>
        <w:t xml:space="preserve">tháng </w:t>
      </w:r>
      <w:r w:rsidRPr="00E77964">
        <w:rPr>
          <w:rFonts w:ascii="Arial" w:hAnsi="Arial" w:cs="Arial"/>
          <w:sz w:val="20"/>
          <w:szCs w:val="20"/>
        </w:rPr>
        <w:t>9 năm 2004 của Bộ Tài chính, cụ thể như sau:</w:t>
      </w:r>
    </w:p>
    <w:p w:rsidR="00E77964" w:rsidRPr="00E77964" w:rsidRDefault="00E77964" w:rsidP="00E77964">
      <w:pPr>
        <w:spacing w:before="90" w:after="90"/>
        <w:jc w:val="right"/>
      </w:pPr>
      <w:r w:rsidRPr="00E77964">
        <w:rPr>
          <w:rFonts w:ascii="Arial" w:hAnsi="Arial" w:cs="Arial"/>
          <w:sz w:val="20"/>
          <w:szCs w:val="20"/>
        </w:rPr>
        <w:t xml:space="preserve">                                                                                     </w:t>
      </w:r>
      <w:r w:rsidRPr="00E77964">
        <w:rPr>
          <w:rFonts w:ascii="Arial" w:hAnsi="Arial" w:cs="Arial"/>
          <w:i/>
          <w:iCs/>
          <w:sz w:val="20"/>
          <w:szCs w:val="20"/>
        </w:rPr>
        <w:t>Đơn vị tính: Đồng</w:t>
      </w:r>
    </w:p>
    <w:tbl>
      <w:tblPr>
        <w:tblW w:w="5000" w:type="pct"/>
        <w:jc w:val="center"/>
        <w:tblCellMar>
          <w:left w:w="0" w:type="dxa"/>
          <w:right w:w="0" w:type="dxa"/>
        </w:tblCellMar>
        <w:tblLook w:val="04A0" w:firstRow="1" w:lastRow="0" w:firstColumn="1" w:lastColumn="0" w:noHBand="0" w:noVBand="1"/>
      </w:tblPr>
      <w:tblGrid>
        <w:gridCol w:w="484"/>
        <w:gridCol w:w="4843"/>
        <w:gridCol w:w="1453"/>
        <w:gridCol w:w="1453"/>
        <w:gridCol w:w="1453"/>
      </w:tblGrid>
      <w:tr w:rsidR="00E77964" w:rsidRPr="00E77964" w:rsidTr="00E77964">
        <w:trPr>
          <w:cantSplit/>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rPr>
              <w:t>Số TT</w:t>
            </w:r>
          </w:p>
        </w:tc>
        <w:tc>
          <w:tcPr>
            <w:tcW w:w="2500" w:type="pct"/>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rPr>
              <w:t xml:space="preserve">PHƯƠNG TIỆN </w:t>
            </w:r>
          </w:p>
          <w:p w:rsidR="00E77964" w:rsidRPr="00E77964" w:rsidRDefault="00E77964" w:rsidP="00E77964">
            <w:pPr>
              <w:spacing w:before="90" w:after="90"/>
              <w:jc w:val="center"/>
            </w:pPr>
            <w:r w:rsidRPr="00E77964">
              <w:rPr>
                <w:rFonts w:ascii="Arial" w:hAnsi="Arial" w:cs="Arial"/>
                <w:b/>
                <w:bCs/>
                <w:sz w:val="20"/>
                <w:szCs w:val="20"/>
              </w:rPr>
              <w:t>CHỊU PHÍ ĐƯỜNG BỘ</w:t>
            </w:r>
          </w:p>
        </w:tc>
        <w:tc>
          <w:tcPr>
            <w:tcW w:w="2250"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rPr>
              <w:t>MỆNH GIÁ</w:t>
            </w:r>
          </w:p>
        </w:tc>
      </w:tr>
      <w:tr w:rsidR="00E77964" w:rsidRPr="00E77964" w:rsidTr="00E77964">
        <w:trPr>
          <w:cantSplit/>
          <w:trHeight w:val="34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7964" w:rsidRPr="00E77964" w:rsidRDefault="00E77964" w:rsidP="00E77964"/>
        </w:tc>
        <w:tc>
          <w:tcPr>
            <w:tcW w:w="0" w:type="auto"/>
            <w:vMerge/>
            <w:tcBorders>
              <w:top w:val="single" w:sz="8" w:space="0" w:color="auto"/>
              <w:left w:val="nil"/>
              <w:bottom w:val="single" w:sz="8" w:space="0" w:color="auto"/>
              <w:right w:val="single" w:sz="8" w:space="0" w:color="auto"/>
            </w:tcBorders>
            <w:vAlign w:val="center"/>
            <w:hideMark/>
          </w:tcPr>
          <w:p w:rsidR="00E77964" w:rsidRPr="00E77964" w:rsidRDefault="00E77964" w:rsidP="00E77964"/>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rPr>
              <w:t>Vé lượt</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rPr>
              <w:t>Vé tháng</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b/>
                <w:bCs/>
                <w:sz w:val="20"/>
                <w:szCs w:val="20"/>
                <w:lang w:val="fr-FR"/>
              </w:rPr>
              <w:t>Vé quý</w:t>
            </w:r>
          </w:p>
        </w:tc>
      </w:tr>
      <w:tr w:rsidR="00E77964" w:rsidRPr="00E77964" w:rsidTr="00E77964">
        <w:trPr>
          <w:jc w:val="center"/>
        </w:trPr>
        <w:tc>
          <w:tcPr>
            <w:tcW w:w="2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w:t>
            </w:r>
          </w:p>
        </w:tc>
        <w:tc>
          <w:tcPr>
            <w:tcW w:w="25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 xml:space="preserve"> Xe lam, xe bông sen, xe công nông, máy kéo </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4.000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120.000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300.000</w:t>
            </w:r>
          </w:p>
        </w:tc>
      </w:tr>
      <w:tr w:rsidR="00E77964" w:rsidRPr="00E77964" w:rsidTr="00E77964">
        <w:trPr>
          <w:jc w:val="center"/>
        </w:trPr>
        <w:tc>
          <w:tcPr>
            <w:tcW w:w="2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lang w:val="nl-NL"/>
              </w:rPr>
              <w:t>2</w:t>
            </w:r>
          </w:p>
        </w:tc>
        <w:tc>
          <w:tcPr>
            <w:tcW w:w="25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Xe dưới 12 ghế ngồi, xe tải có tải trọng dưới 02 tấn và các loại buýt vận tải khách công cộng.</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10.000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300.000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800.000</w:t>
            </w:r>
          </w:p>
        </w:tc>
      </w:tr>
      <w:tr w:rsidR="00E77964" w:rsidRPr="00E77964" w:rsidTr="00E77964">
        <w:trPr>
          <w:jc w:val="center"/>
        </w:trPr>
        <w:tc>
          <w:tcPr>
            <w:tcW w:w="250" w:type="pct"/>
            <w:tcBorders>
              <w:top w:val="nil"/>
              <w:left w:val="single" w:sz="8" w:space="0" w:color="auto"/>
              <w:bottom w:val="single" w:sz="4"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lang w:val="nl-NL"/>
              </w:rPr>
              <w:t>3</w:t>
            </w:r>
          </w:p>
        </w:tc>
        <w:tc>
          <w:tcPr>
            <w:tcW w:w="2500" w:type="pct"/>
            <w:tcBorders>
              <w:top w:val="nil"/>
              <w:left w:val="nil"/>
              <w:bottom w:val="single" w:sz="4"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 xml:space="preserve">Xe từ 12 ghế ngồi đến 30 ghế ngồi; Xe tải có tải trọng từ 02 tấn đến dưới 04 tấn. </w:t>
            </w:r>
          </w:p>
        </w:tc>
        <w:tc>
          <w:tcPr>
            <w:tcW w:w="750" w:type="pct"/>
            <w:tcBorders>
              <w:top w:val="nil"/>
              <w:left w:val="nil"/>
              <w:bottom w:val="single" w:sz="4"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15.000</w:t>
            </w:r>
          </w:p>
        </w:tc>
        <w:tc>
          <w:tcPr>
            <w:tcW w:w="750" w:type="pct"/>
            <w:tcBorders>
              <w:top w:val="nil"/>
              <w:left w:val="nil"/>
              <w:bottom w:val="single" w:sz="4"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450.000</w:t>
            </w:r>
          </w:p>
        </w:tc>
        <w:tc>
          <w:tcPr>
            <w:tcW w:w="750" w:type="pct"/>
            <w:tcBorders>
              <w:top w:val="nil"/>
              <w:left w:val="nil"/>
              <w:bottom w:val="single" w:sz="4"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1.200.000</w:t>
            </w:r>
          </w:p>
        </w:tc>
      </w:tr>
      <w:tr w:rsidR="00E77964" w:rsidRPr="00E77964" w:rsidTr="00E77964">
        <w:trPr>
          <w:trHeight w:val="790"/>
          <w:jc w:val="center"/>
        </w:trPr>
        <w:tc>
          <w:tcPr>
            <w:tcW w:w="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lang w:val="nl-NL"/>
              </w:rPr>
              <w:lastRenderedPageBreak/>
              <w:t>4</w:t>
            </w:r>
          </w:p>
        </w:tc>
        <w:tc>
          <w:tcPr>
            <w:tcW w:w="25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 xml:space="preserve">Xe từ 31 ghế ngồi trở lên; Xe tải có tải trọng từ 04 tấn ến dưới 10 tấn. </w:t>
            </w:r>
            <w:r w:rsidRPr="00E77964">
              <w:rPr>
                <w:rFonts w:ascii="Arial" w:hAnsi="Arial" w:cs="Arial"/>
                <w:sz w:val="20"/>
                <w:szCs w:val="20"/>
              </w:rPr>
              <w:t>đ</w:t>
            </w:r>
          </w:p>
        </w:tc>
        <w:tc>
          <w:tcPr>
            <w:tcW w:w="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22.000</w:t>
            </w:r>
          </w:p>
        </w:tc>
        <w:tc>
          <w:tcPr>
            <w:tcW w:w="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660.000</w:t>
            </w:r>
          </w:p>
        </w:tc>
        <w:tc>
          <w:tcPr>
            <w:tcW w:w="7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1.800.000</w:t>
            </w:r>
          </w:p>
        </w:tc>
      </w:tr>
      <w:tr w:rsidR="00E77964" w:rsidRPr="00E77964" w:rsidTr="00E77964">
        <w:trPr>
          <w:jc w:val="center"/>
        </w:trPr>
        <w:tc>
          <w:tcPr>
            <w:tcW w:w="250" w:type="pct"/>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lang w:val="nl-NL"/>
              </w:rPr>
              <w:t>5</w:t>
            </w:r>
          </w:p>
        </w:tc>
        <w:tc>
          <w:tcPr>
            <w:tcW w:w="2500"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Xe tải có tải trọng từ 10 tấn đến dưới 18 tấn và xe chở hàng bằng Container 20 feet.</w:t>
            </w:r>
          </w:p>
        </w:tc>
        <w:tc>
          <w:tcPr>
            <w:tcW w:w="750"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40.000</w:t>
            </w:r>
          </w:p>
        </w:tc>
        <w:tc>
          <w:tcPr>
            <w:tcW w:w="750"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1.200.000</w:t>
            </w:r>
          </w:p>
        </w:tc>
        <w:tc>
          <w:tcPr>
            <w:tcW w:w="750"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3.200.000</w:t>
            </w:r>
          </w:p>
        </w:tc>
      </w:tr>
      <w:tr w:rsidR="00E77964" w:rsidRPr="00E77964" w:rsidTr="00E77964">
        <w:trPr>
          <w:jc w:val="center"/>
        </w:trPr>
        <w:tc>
          <w:tcPr>
            <w:tcW w:w="250" w:type="pc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lang w:val="nl-NL"/>
              </w:rPr>
              <w:t>6</w:t>
            </w:r>
          </w:p>
        </w:tc>
        <w:tc>
          <w:tcPr>
            <w:tcW w:w="25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pPr>
            <w:r w:rsidRPr="00E77964">
              <w:rPr>
                <w:rFonts w:ascii="Arial" w:hAnsi="Arial" w:cs="Arial"/>
                <w:sz w:val="20"/>
                <w:szCs w:val="20"/>
              </w:rPr>
              <w:t>Xe tải có tải trọng từ 18 tấn trở lên và xe chở hàng bằng Container 40 feet.</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80.000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2.400.000</w:t>
            </w:r>
          </w:p>
        </w:tc>
        <w:tc>
          <w:tcPr>
            <w:tcW w:w="7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E77964" w:rsidRPr="00E77964" w:rsidRDefault="00E77964" w:rsidP="00E77964">
            <w:pPr>
              <w:spacing w:before="90" w:after="90"/>
              <w:jc w:val="center"/>
            </w:pPr>
            <w:r w:rsidRPr="00E77964">
              <w:rPr>
                <w:rFonts w:ascii="Arial" w:hAnsi="Arial" w:cs="Arial"/>
                <w:sz w:val="20"/>
                <w:szCs w:val="20"/>
              </w:rPr>
              <w:t>6.500.000</w:t>
            </w:r>
          </w:p>
        </w:tc>
      </w:tr>
    </w:tbl>
    <w:p w:rsidR="00E77964" w:rsidRPr="00E77964" w:rsidRDefault="00E77964" w:rsidP="00E77964">
      <w:pPr>
        <w:spacing w:before="90" w:after="90"/>
        <w:jc w:val="both"/>
      </w:pPr>
      <w:r w:rsidRPr="00E77964">
        <w:rPr>
          <w:rFonts w:ascii="Arial" w:hAnsi="Arial" w:cs="Arial"/>
          <w:sz w:val="20"/>
          <w:szCs w:val="20"/>
          <w:lang w:val="pt-BR"/>
        </w:rPr>
        <w:t xml:space="preserve">Các trường hợp miễn thu phí được áp dụng theo quy định tại Thông tư số 90/2004/TT-BTC </w:t>
      </w:r>
      <w:r w:rsidRPr="00E77964">
        <w:rPr>
          <w:rFonts w:ascii="Arial" w:hAnsi="Arial" w:cs="Arial"/>
          <w:sz w:val="20"/>
          <w:szCs w:val="20"/>
        </w:rPr>
        <w:t xml:space="preserve">ngày 07 </w:t>
      </w:r>
      <w:r w:rsidRPr="00E77964">
        <w:rPr>
          <w:rFonts w:ascii="Arial" w:hAnsi="Arial" w:cs="Arial"/>
          <w:sz w:val="20"/>
          <w:szCs w:val="20"/>
          <w:lang w:val="fr-FR"/>
        </w:rPr>
        <w:t xml:space="preserve">tháng </w:t>
      </w:r>
      <w:r w:rsidRPr="00E77964">
        <w:rPr>
          <w:rFonts w:ascii="Arial" w:hAnsi="Arial" w:cs="Arial"/>
          <w:sz w:val="20"/>
          <w:szCs w:val="20"/>
        </w:rPr>
        <w:t>9 năm 2004 của Bộ Tài chính</w:t>
      </w:r>
      <w:r w:rsidRPr="00E77964">
        <w:rPr>
          <w:rFonts w:ascii="Arial" w:hAnsi="Arial" w:cs="Arial"/>
          <w:sz w:val="20"/>
          <w:szCs w:val="20"/>
          <w:lang w:val="pt-BR"/>
        </w:rPr>
        <w:t>.</w:t>
      </w:r>
    </w:p>
    <w:p w:rsidR="00E77964" w:rsidRPr="00E77964" w:rsidRDefault="00E77964" w:rsidP="00E77964">
      <w:pPr>
        <w:spacing w:before="90" w:after="90"/>
        <w:jc w:val="both"/>
      </w:pPr>
      <w:r w:rsidRPr="00E77964">
        <w:rPr>
          <w:rFonts w:ascii="Arial" w:hAnsi="Arial" w:cs="Arial"/>
          <w:b/>
          <w:bCs/>
          <w:sz w:val="20"/>
          <w:szCs w:val="20"/>
          <w:lang w:val="pt-BR"/>
        </w:rPr>
        <w:t>Điều 2.</w:t>
      </w:r>
      <w:r w:rsidRPr="00E77964">
        <w:rPr>
          <w:rFonts w:ascii="Arial" w:hAnsi="Arial" w:cs="Arial"/>
          <w:sz w:val="20"/>
          <w:szCs w:val="20"/>
          <w:lang w:val="pt-BR"/>
        </w:rPr>
        <w:t xml:space="preserve"> </w:t>
      </w:r>
      <w:r w:rsidRPr="00E77964">
        <w:rPr>
          <w:rFonts w:ascii="Arial" w:hAnsi="Arial" w:cs="Arial"/>
          <w:sz w:val="20"/>
          <w:szCs w:val="20"/>
        </w:rPr>
        <w:t xml:space="preserve">Giao Sở Giao thông vận tải chủ trì, phối hợp với Sở Tài chính, Sở Tư pháp, Sở Kế hoạch và Đầu tư để đàm phán với Công ty Cổ phần Đầu tư hạ tầng kỹ thuật thành phố Hồ Chí Minh điều chỉnh, hoàn thiện </w:t>
      </w:r>
      <w:r w:rsidRPr="00E77964">
        <w:rPr>
          <w:rFonts w:ascii="Arial" w:hAnsi="Arial" w:cs="Arial"/>
          <w:sz w:val="20"/>
          <w:szCs w:val="20"/>
          <w:lang w:val="fr-FR"/>
        </w:rPr>
        <w:t>phương án</w:t>
      </w:r>
      <w:r w:rsidRPr="00E77964">
        <w:rPr>
          <w:rFonts w:ascii="Arial" w:hAnsi="Arial" w:cs="Arial"/>
          <w:sz w:val="20"/>
          <w:szCs w:val="20"/>
        </w:rPr>
        <w:t xml:space="preserve"> tài chính của dự án, trình Ủy ban nhân dân thành phố phê duyệt và báo cáo </w:t>
      </w:r>
      <w:r w:rsidRPr="00E77964">
        <w:rPr>
          <w:rFonts w:ascii="Arial" w:hAnsi="Arial" w:cs="Arial"/>
          <w:sz w:val="20"/>
          <w:szCs w:val="20"/>
          <w:lang w:val="it-IT"/>
        </w:rPr>
        <w:t>Hội đồng</w:t>
      </w:r>
      <w:r w:rsidRPr="00E77964">
        <w:rPr>
          <w:rFonts w:ascii="Arial" w:hAnsi="Arial" w:cs="Arial"/>
          <w:sz w:val="20"/>
          <w:szCs w:val="20"/>
        </w:rPr>
        <w:t xml:space="preserve"> nhân dân thành phố.</w:t>
      </w:r>
    </w:p>
    <w:p w:rsidR="00E77964" w:rsidRPr="00E77964" w:rsidRDefault="00E77964" w:rsidP="00E77964">
      <w:pPr>
        <w:spacing w:before="90" w:after="90"/>
        <w:jc w:val="both"/>
      </w:pPr>
      <w:r w:rsidRPr="00E77964">
        <w:rPr>
          <w:rFonts w:ascii="Arial" w:hAnsi="Arial" w:cs="Arial"/>
          <w:b/>
          <w:bCs/>
          <w:sz w:val="20"/>
          <w:szCs w:val="20"/>
          <w:lang w:val="pt-BR"/>
        </w:rPr>
        <w:t xml:space="preserve">Điều 3. </w:t>
      </w:r>
      <w:r w:rsidRPr="00E77964">
        <w:rPr>
          <w:rFonts w:ascii="Arial" w:hAnsi="Arial" w:cs="Arial"/>
          <w:sz w:val="20"/>
          <w:szCs w:val="20"/>
          <w:lang w:val="pt-BR"/>
        </w:rPr>
        <w:t xml:space="preserve">Quyết định này có hiệu lực kể từ ngày 01 </w:t>
      </w:r>
      <w:r w:rsidRPr="00E77964">
        <w:rPr>
          <w:rFonts w:ascii="Arial" w:hAnsi="Arial" w:cs="Arial"/>
          <w:sz w:val="20"/>
          <w:szCs w:val="20"/>
          <w:lang w:val="fr-FR"/>
        </w:rPr>
        <w:t xml:space="preserve">tháng </w:t>
      </w:r>
      <w:r w:rsidRPr="00E77964">
        <w:rPr>
          <w:rFonts w:ascii="Arial" w:hAnsi="Arial" w:cs="Arial"/>
          <w:sz w:val="20"/>
          <w:szCs w:val="20"/>
          <w:lang w:val="pt-BR"/>
        </w:rPr>
        <w:t xml:space="preserve">7 năm 2011. Các nội dung không đề cập vẫn giữ nguyên theo Quyết định số 69/2006/QĐ-UBND ngày 04 </w:t>
      </w:r>
      <w:r w:rsidRPr="00E77964">
        <w:rPr>
          <w:rFonts w:ascii="Arial" w:hAnsi="Arial" w:cs="Arial"/>
          <w:sz w:val="20"/>
          <w:szCs w:val="20"/>
          <w:lang w:val="fr-FR"/>
        </w:rPr>
        <w:t>tháng</w:t>
      </w:r>
      <w:r w:rsidRPr="00E77964">
        <w:rPr>
          <w:rFonts w:ascii="Arial" w:hAnsi="Arial" w:cs="Arial"/>
          <w:sz w:val="20"/>
          <w:szCs w:val="20"/>
          <w:lang w:val="pt-BR"/>
        </w:rPr>
        <w:t xml:space="preserve"> 5 năm 2006 và Quyết định số 155/2006/QĐ-UBND ngày 26 </w:t>
      </w:r>
      <w:r w:rsidRPr="00E77964">
        <w:rPr>
          <w:rFonts w:ascii="Arial" w:hAnsi="Arial" w:cs="Arial"/>
          <w:sz w:val="20"/>
          <w:szCs w:val="20"/>
          <w:lang w:val="fr-FR"/>
        </w:rPr>
        <w:t>tháng</w:t>
      </w:r>
      <w:r w:rsidRPr="00E77964">
        <w:rPr>
          <w:rFonts w:ascii="Arial" w:hAnsi="Arial" w:cs="Arial"/>
          <w:sz w:val="20"/>
          <w:szCs w:val="20"/>
          <w:lang w:val="pt-BR"/>
        </w:rPr>
        <w:t xml:space="preserve"> 10 năm 2006 của Ủy ban nhân dân thành phố.</w:t>
      </w:r>
    </w:p>
    <w:p w:rsidR="00E77964" w:rsidRPr="00E77964" w:rsidRDefault="00E77964" w:rsidP="00E77964">
      <w:pPr>
        <w:spacing w:before="90" w:after="90"/>
        <w:jc w:val="both"/>
      </w:pPr>
      <w:proofErr w:type="gramStart"/>
      <w:r w:rsidRPr="00E77964">
        <w:rPr>
          <w:rFonts w:ascii="Arial" w:hAnsi="Arial" w:cs="Arial"/>
          <w:b/>
          <w:bCs/>
          <w:sz w:val="20"/>
          <w:szCs w:val="20"/>
        </w:rPr>
        <w:t>Điều 4.</w:t>
      </w:r>
      <w:proofErr w:type="gramEnd"/>
      <w:r w:rsidRPr="00E77964">
        <w:rPr>
          <w:rFonts w:ascii="Arial" w:hAnsi="Arial" w:cs="Arial"/>
          <w:sz w:val="20"/>
          <w:szCs w:val="20"/>
        </w:rPr>
        <w:t xml:space="preserve"> Chánh Văn phòng Ủy ban nhân dân thành phố, Giám đốc các Sở, ban, ngành thành phố, Tổng Giám đốc Công ty Cổ phần Đầu tư hạ tầng kỹ thuật thành phố Hồ Chí Minh và Thủ trưởng các đơn vị có liên quan chịu trách nhiệm thi hành Quyết định này./.</w:t>
      </w:r>
    </w:p>
    <w:p w:rsidR="00E77964" w:rsidRPr="00E77964" w:rsidRDefault="00E77964" w:rsidP="00E77964">
      <w:pPr>
        <w:spacing w:before="90" w:after="90"/>
        <w:jc w:val="both"/>
      </w:pPr>
      <w:r w:rsidRPr="00E77964">
        <w:rPr>
          <w:rFonts w:ascii="Arial" w:hAnsi="Arial" w:cs="Arial"/>
          <w:sz w:val="20"/>
          <w:szCs w:val="20"/>
        </w:rPr>
        <w:t> </w:t>
      </w:r>
    </w:p>
    <w:p w:rsidR="00E77964" w:rsidRDefault="00E77964" w:rsidP="00E77964">
      <w:pPr>
        <w:spacing w:before="30" w:after="30"/>
        <w:rPr>
          <w:rFonts w:ascii="Arial" w:hAnsi="Arial" w:cs="Arial"/>
          <w:b/>
          <w:bCs/>
          <w:i/>
          <w:iCs/>
          <w:sz w:val="18"/>
          <w:szCs w:val="18"/>
        </w:rPr>
        <w:sectPr w:rsidR="00E77964" w:rsidSect="00E77964">
          <w:pgSz w:w="12240" w:h="15840"/>
          <w:pgMar w:top="1440" w:right="1080" w:bottom="1440" w:left="1530" w:header="720" w:footer="720" w:gutter="0"/>
          <w:cols w:space="720"/>
          <w:docGrid w:linePitch="360"/>
        </w:sectPr>
      </w:pPr>
    </w:p>
    <w:tbl>
      <w:tblPr>
        <w:tblW w:w="5053" w:type="pct"/>
        <w:tblInd w:w="108" w:type="dxa"/>
        <w:tblCellMar>
          <w:left w:w="0" w:type="dxa"/>
          <w:right w:w="0" w:type="dxa"/>
        </w:tblCellMar>
        <w:tblLook w:val="04A0" w:firstRow="1" w:lastRow="0" w:firstColumn="1" w:lastColumn="0" w:noHBand="0" w:noVBand="1"/>
      </w:tblPr>
      <w:tblGrid>
        <w:gridCol w:w="4721"/>
      </w:tblGrid>
      <w:tr w:rsidR="00E77964" w:rsidRPr="00E77964" w:rsidTr="00E77964">
        <w:trPr>
          <w:trHeight w:val="3484"/>
        </w:trPr>
        <w:tc>
          <w:tcPr>
            <w:tcW w:w="5000" w:type="pct"/>
            <w:tcMar>
              <w:top w:w="0" w:type="dxa"/>
              <w:left w:w="108" w:type="dxa"/>
              <w:bottom w:w="0" w:type="dxa"/>
              <w:right w:w="108" w:type="dxa"/>
            </w:tcMar>
            <w:hideMark/>
          </w:tcPr>
          <w:p w:rsidR="00E77964" w:rsidRPr="00E77964" w:rsidRDefault="00E77964" w:rsidP="00E77964">
            <w:pPr>
              <w:spacing w:before="30" w:after="30"/>
            </w:pPr>
            <w:r w:rsidRPr="00E77964">
              <w:rPr>
                <w:rFonts w:ascii="Arial" w:hAnsi="Arial" w:cs="Arial"/>
                <w:b/>
                <w:bCs/>
                <w:i/>
                <w:iCs/>
                <w:sz w:val="18"/>
                <w:szCs w:val="18"/>
              </w:rPr>
              <w:lastRenderedPageBreak/>
              <w:t> </w:t>
            </w:r>
          </w:p>
          <w:p w:rsidR="00E77964" w:rsidRPr="00E77964" w:rsidRDefault="00E77964" w:rsidP="00E77964">
            <w:pPr>
              <w:spacing w:before="30" w:after="30"/>
            </w:pPr>
            <w:r w:rsidRPr="00E77964">
              <w:rPr>
                <w:rFonts w:ascii="Arial" w:hAnsi="Arial" w:cs="Arial"/>
                <w:b/>
                <w:bCs/>
                <w:i/>
                <w:iCs/>
                <w:sz w:val="18"/>
                <w:szCs w:val="18"/>
              </w:rPr>
              <w:t>Nơi nhận:</w:t>
            </w:r>
          </w:p>
          <w:p w:rsidR="00E77964" w:rsidRPr="00E77964" w:rsidRDefault="00E77964" w:rsidP="00E77964">
            <w:pPr>
              <w:spacing w:before="30" w:after="30"/>
            </w:pPr>
            <w:r w:rsidRPr="00E77964">
              <w:rPr>
                <w:rFonts w:ascii="Arial" w:hAnsi="Arial" w:cs="Arial"/>
                <w:sz w:val="18"/>
                <w:szCs w:val="18"/>
              </w:rPr>
              <w:t xml:space="preserve">- Như Điều 4;                                                                                                    </w:t>
            </w:r>
          </w:p>
          <w:p w:rsidR="00E77964" w:rsidRPr="00E77964" w:rsidRDefault="00E77964" w:rsidP="00E77964">
            <w:pPr>
              <w:spacing w:before="30" w:after="30"/>
            </w:pPr>
            <w:r w:rsidRPr="00E77964">
              <w:rPr>
                <w:rFonts w:ascii="Arial" w:hAnsi="Arial" w:cs="Arial"/>
                <w:sz w:val="18"/>
                <w:szCs w:val="18"/>
              </w:rPr>
              <w:t>- Cục Kiểm tra văn bản QPPL-Bộ Tư pháp;</w:t>
            </w:r>
          </w:p>
          <w:p w:rsidR="00E77964" w:rsidRPr="00E77964" w:rsidRDefault="00E77964" w:rsidP="00E77964">
            <w:pPr>
              <w:spacing w:before="30" w:after="30"/>
            </w:pPr>
            <w:r w:rsidRPr="00E77964">
              <w:rPr>
                <w:rFonts w:ascii="Arial" w:hAnsi="Arial" w:cs="Arial"/>
                <w:sz w:val="18"/>
                <w:szCs w:val="18"/>
              </w:rPr>
              <w:t>- Thường trực Thành ủy;</w:t>
            </w:r>
          </w:p>
          <w:p w:rsidR="00E77964" w:rsidRPr="00E77964" w:rsidRDefault="00E77964" w:rsidP="00E77964">
            <w:pPr>
              <w:spacing w:before="30" w:after="30"/>
            </w:pPr>
            <w:r w:rsidRPr="00E77964">
              <w:rPr>
                <w:rFonts w:ascii="Arial" w:hAnsi="Arial" w:cs="Arial"/>
                <w:sz w:val="18"/>
                <w:szCs w:val="18"/>
              </w:rPr>
              <w:t>- Thường trực HĐND. TP;</w:t>
            </w:r>
          </w:p>
          <w:p w:rsidR="00E77964" w:rsidRPr="00E77964" w:rsidRDefault="00E77964" w:rsidP="00E77964">
            <w:pPr>
              <w:spacing w:before="30" w:after="30"/>
            </w:pPr>
            <w:r w:rsidRPr="00E77964">
              <w:rPr>
                <w:rFonts w:ascii="Arial" w:hAnsi="Arial" w:cs="Arial"/>
                <w:sz w:val="18"/>
                <w:szCs w:val="18"/>
              </w:rPr>
              <w:t>- TTUB: CT, các PCT;</w:t>
            </w:r>
          </w:p>
          <w:p w:rsidR="00E77964" w:rsidRPr="00E77964" w:rsidRDefault="00E77964" w:rsidP="00E77964">
            <w:pPr>
              <w:spacing w:before="30" w:after="30"/>
            </w:pPr>
            <w:r w:rsidRPr="00E77964">
              <w:rPr>
                <w:rFonts w:ascii="Arial" w:hAnsi="Arial" w:cs="Arial"/>
                <w:sz w:val="18"/>
                <w:szCs w:val="18"/>
              </w:rPr>
              <w:t>- Ủy ban MTTQ Việt Nam TP;</w:t>
            </w:r>
          </w:p>
          <w:p w:rsidR="00E77964" w:rsidRPr="00E77964" w:rsidRDefault="00E77964" w:rsidP="00E77964">
            <w:pPr>
              <w:spacing w:before="30" w:after="30"/>
            </w:pPr>
            <w:r w:rsidRPr="00E77964">
              <w:rPr>
                <w:rFonts w:ascii="Arial" w:hAnsi="Arial" w:cs="Arial"/>
                <w:sz w:val="18"/>
                <w:szCs w:val="18"/>
              </w:rPr>
              <w:t>- Các Cơ quan Báo, Đài;</w:t>
            </w:r>
          </w:p>
          <w:p w:rsidR="00E77964" w:rsidRPr="00E77964" w:rsidRDefault="00E77964" w:rsidP="00E77964">
            <w:pPr>
              <w:spacing w:before="30" w:after="30"/>
            </w:pPr>
            <w:r w:rsidRPr="00E77964">
              <w:rPr>
                <w:rFonts w:ascii="Arial" w:hAnsi="Arial" w:cs="Arial"/>
                <w:sz w:val="18"/>
                <w:szCs w:val="18"/>
              </w:rPr>
              <w:t>- VPUB: Các PVP;</w:t>
            </w:r>
          </w:p>
          <w:p w:rsidR="00E77964" w:rsidRPr="00E77964" w:rsidRDefault="00E77964" w:rsidP="00E77964">
            <w:pPr>
              <w:spacing w:before="30" w:after="30"/>
            </w:pPr>
            <w:r w:rsidRPr="00E77964">
              <w:rPr>
                <w:rFonts w:ascii="Arial" w:hAnsi="Arial" w:cs="Arial"/>
                <w:sz w:val="18"/>
                <w:szCs w:val="18"/>
              </w:rPr>
              <w:t>- Các Phòng CV; TTCB;</w:t>
            </w:r>
          </w:p>
          <w:p w:rsidR="00E77964" w:rsidRPr="00E77964" w:rsidRDefault="00E77964" w:rsidP="00E77964">
            <w:pPr>
              <w:pStyle w:val="Heading1"/>
              <w:spacing w:before="90" w:after="90"/>
              <w:rPr>
                <w:b w:val="0"/>
                <w:color w:val="auto"/>
              </w:rPr>
            </w:pPr>
            <w:r w:rsidRPr="00E77964">
              <w:rPr>
                <w:rFonts w:ascii="Arial" w:hAnsi="Arial" w:cs="Arial"/>
                <w:b w:val="0"/>
                <w:color w:val="auto"/>
                <w:sz w:val="18"/>
                <w:szCs w:val="18"/>
              </w:rPr>
              <w:t>- Lưu</w:t>
            </w:r>
            <w:proofErr w:type="gramStart"/>
            <w:r w:rsidRPr="00E77964">
              <w:rPr>
                <w:rFonts w:ascii="Arial" w:hAnsi="Arial" w:cs="Arial"/>
                <w:b w:val="0"/>
                <w:color w:val="auto"/>
                <w:sz w:val="18"/>
                <w:szCs w:val="18"/>
              </w:rPr>
              <w:t>:VT</w:t>
            </w:r>
            <w:proofErr w:type="gramEnd"/>
            <w:r w:rsidRPr="00E77964">
              <w:rPr>
                <w:rFonts w:ascii="Arial" w:hAnsi="Arial" w:cs="Arial"/>
                <w:b w:val="0"/>
                <w:color w:val="auto"/>
                <w:sz w:val="18"/>
                <w:szCs w:val="18"/>
              </w:rPr>
              <w:t xml:space="preserve">, (ĐTMT-Thg) H.                                 </w:t>
            </w:r>
          </w:p>
        </w:tc>
      </w:tr>
      <w:tr w:rsidR="00E77964" w:rsidRPr="00E77964" w:rsidTr="00E77964">
        <w:trPr>
          <w:trHeight w:val="3484"/>
        </w:trPr>
        <w:tc>
          <w:tcPr>
            <w:tcW w:w="5000" w:type="pct"/>
            <w:tcMar>
              <w:top w:w="0" w:type="dxa"/>
              <w:left w:w="108" w:type="dxa"/>
              <w:bottom w:w="0" w:type="dxa"/>
              <w:right w:w="108" w:type="dxa"/>
            </w:tcMar>
          </w:tcPr>
          <w:p w:rsidR="00E77964" w:rsidRPr="00E77964" w:rsidRDefault="00E77964" w:rsidP="00E77964">
            <w:pPr>
              <w:pStyle w:val="Heading1"/>
              <w:spacing w:before="90" w:after="90"/>
              <w:rPr>
                <w:color w:val="auto"/>
              </w:rPr>
            </w:pPr>
            <w:r>
              <w:rPr>
                <w:rFonts w:ascii="Arial" w:hAnsi="Arial" w:cs="Arial"/>
                <w:color w:val="auto"/>
                <w:sz w:val="20"/>
                <w:szCs w:val="20"/>
              </w:rPr>
              <w:lastRenderedPageBreak/>
              <w:t xml:space="preserve">                </w:t>
            </w:r>
            <w:proofErr w:type="gramStart"/>
            <w:r w:rsidRPr="00E77964">
              <w:rPr>
                <w:rFonts w:ascii="Arial" w:hAnsi="Arial" w:cs="Arial"/>
                <w:color w:val="auto"/>
                <w:sz w:val="20"/>
                <w:szCs w:val="20"/>
              </w:rPr>
              <w:t>TM.</w:t>
            </w:r>
            <w:proofErr w:type="gramEnd"/>
            <w:r w:rsidRPr="00E77964">
              <w:rPr>
                <w:rFonts w:ascii="Arial" w:hAnsi="Arial" w:cs="Arial"/>
                <w:color w:val="auto"/>
                <w:sz w:val="20"/>
                <w:szCs w:val="20"/>
              </w:rPr>
              <w:t xml:space="preserve"> ỦY BAN NHÂN DÂN</w:t>
            </w:r>
          </w:p>
          <w:p w:rsidR="00E77964" w:rsidRPr="00E77964" w:rsidRDefault="00E77964" w:rsidP="00E77964">
            <w:pPr>
              <w:pStyle w:val="Heading1"/>
              <w:spacing w:before="90" w:after="90"/>
              <w:rPr>
                <w:color w:val="auto"/>
              </w:rPr>
            </w:pPr>
            <w:r>
              <w:rPr>
                <w:rFonts w:ascii="Arial" w:hAnsi="Arial" w:cs="Arial"/>
                <w:color w:val="auto"/>
                <w:sz w:val="20"/>
                <w:szCs w:val="20"/>
              </w:rPr>
              <w:t xml:space="preserve">                        </w:t>
            </w:r>
            <w:r w:rsidRPr="00E77964">
              <w:rPr>
                <w:rFonts w:ascii="Arial" w:hAnsi="Arial" w:cs="Arial"/>
                <w:color w:val="auto"/>
                <w:sz w:val="20"/>
                <w:szCs w:val="20"/>
              </w:rPr>
              <w:t>KT. CHỦ TỊCH</w:t>
            </w:r>
          </w:p>
          <w:p w:rsidR="00E77964" w:rsidRPr="00E77964" w:rsidRDefault="00E77964" w:rsidP="00E77964">
            <w:pPr>
              <w:spacing w:before="90" w:after="90"/>
              <w:jc w:val="center"/>
            </w:pPr>
            <w:r w:rsidRPr="00E77964">
              <w:rPr>
                <w:rFonts w:ascii="Arial" w:hAnsi="Arial" w:cs="Arial"/>
                <w:b/>
                <w:bCs/>
                <w:sz w:val="20"/>
                <w:szCs w:val="20"/>
              </w:rPr>
              <w:t>PHÓ CHỦ TỊCH THƯỜNG TRỰC</w:t>
            </w:r>
          </w:p>
          <w:p w:rsidR="00E77964" w:rsidRPr="00E77964" w:rsidRDefault="00E77964" w:rsidP="00E77964">
            <w:pPr>
              <w:spacing w:before="90" w:after="90"/>
              <w:jc w:val="center"/>
            </w:pPr>
            <w:r w:rsidRPr="00E77964">
              <w:rPr>
                <w:rFonts w:ascii="Arial" w:hAnsi="Arial" w:cs="Arial"/>
                <w:b/>
                <w:bCs/>
                <w:sz w:val="20"/>
                <w:szCs w:val="20"/>
              </w:rPr>
              <w:t> </w:t>
            </w:r>
          </w:p>
          <w:p w:rsidR="00E77964" w:rsidRPr="00E77964" w:rsidRDefault="00E77964" w:rsidP="00E77964">
            <w:pPr>
              <w:spacing w:before="90" w:after="90"/>
              <w:jc w:val="center"/>
            </w:pPr>
            <w:r w:rsidRPr="00E77964">
              <w:rPr>
                <w:rFonts w:ascii="Arial" w:hAnsi="Arial" w:cs="Arial"/>
                <w:b/>
                <w:bCs/>
                <w:sz w:val="20"/>
                <w:szCs w:val="20"/>
              </w:rPr>
              <w:t>(Đã ký)</w:t>
            </w:r>
          </w:p>
          <w:p w:rsidR="00E77964" w:rsidRPr="00E77964" w:rsidRDefault="00E77964" w:rsidP="00E77964">
            <w:pPr>
              <w:spacing w:before="90" w:after="90"/>
              <w:jc w:val="center"/>
            </w:pPr>
            <w:r w:rsidRPr="00E77964">
              <w:rPr>
                <w:rFonts w:ascii="Arial" w:hAnsi="Arial" w:cs="Arial"/>
                <w:b/>
                <w:bCs/>
                <w:sz w:val="20"/>
                <w:szCs w:val="20"/>
              </w:rPr>
              <w:t> </w:t>
            </w:r>
          </w:p>
          <w:p w:rsidR="00E77964" w:rsidRPr="00E77964" w:rsidRDefault="00E77964" w:rsidP="00E77964">
            <w:pPr>
              <w:spacing w:before="30" w:after="30"/>
              <w:rPr>
                <w:rFonts w:ascii="Arial" w:hAnsi="Arial" w:cs="Arial"/>
                <w:b/>
                <w:bCs/>
                <w:i/>
                <w:iCs/>
                <w:sz w:val="18"/>
                <w:szCs w:val="18"/>
              </w:rPr>
            </w:pPr>
            <w:r>
              <w:rPr>
                <w:rFonts w:ascii="Arial" w:hAnsi="Arial" w:cs="Arial"/>
                <w:sz w:val="20"/>
                <w:szCs w:val="20"/>
              </w:rPr>
              <w:t xml:space="preserve">     </w:t>
            </w:r>
            <w:bookmarkStart w:id="0" w:name="_GoBack"/>
            <w:bookmarkEnd w:id="0"/>
            <w:r>
              <w:rPr>
                <w:rFonts w:ascii="Arial" w:hAnsi="Arial" w:cs="Arial"/>
                <w:sz w:val="20"/>
                <w:szCs w:val="20"/>
              </w:rPr>
              <w:t xml:space="preserve">                  </w:t>
            </w:r>
            <w:r w:rsidRPr="00E77964">
              <w:rPr>
                <w:rFonts w:ascii="Arial" w:hAnsi="Arial" w:cs="Arial"/>
                <w:sz w:val="20"/>
                <w:szCs w:val="20"/>
              </w:rPr>
              <w:t>Nguyễn Thành T</w:t>
            </w:r>
            <w:r>
              <w:rPr>
                <w:rFonts w:ascii="Arial" w:hAnsi="Arial" w:cs="Arial"/>
                <w:sz w:val="20"/>
                <w:szCs w:val="20"/>
              </w:rPr>
              <w:t>ài</w:t>
            </w:r>
          </w:p>
        </w:tc>
      </w:tr>
    </w:tbl>
    <w:p w:rsidR="00E77964" w:rsidRDefault="00E77964">
      <w:pPr>
        <w:sectPr w:rsidR="00E77964" w:rsidSect="00E77964">
          <w:type w:val="continuous"/>
          <w:pgSz w:w="12240" w:h="15840"/>
          <w:pgMar w:top="1440" w:right="1080" w:bottom="1440" w:left="1530" w:header="720" w:footer="720" w:gutter="0"/>
          <w:cols w:num="2" w:space="720"/>
          <w:docGrid w:linePitch="360"/>
        </w:sectPr>
      </w:pPr>
    </w:p>
    <w:p w:rsidR="003012C8" w:rsidRPr="00E77964" w:rsidRDefault="003012C8"/>
    <w:sectPr w:rsidR="003012C8" w:rsidRPr="00E77964" w:rsidSect="00E77964">
      <w:type w:val="continuous"/>
      <w:pgSz w:w="12240" w:h="15840"/>
      <w:pgMar w:top="1440" w:right="108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70"/>
    <w:rsid w:val="003012C8"/>
    <w:rsid w:val="003E6663"/>
    <w:rsid w:val="00561C70"/>
    <w:rsid w:val="00747AEC"/>
    <w:rsid w:val="00C53CFC"/>
    <w:rsid w:val="00E77964"/>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779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7796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7964"/>
    <w:rPr>
      <w:b/>
      <w:bCs/>
    </w:rPr>
  </w:style>
  <w:style w:type="paragraph" w:styleId="NormalWeb">
    <w:name w:val="Normal (Web)"/>
    <w:basedOn w:val="Normal"/>
    <w:uiPriority w:val="99"/>
    <w:unhideWhenUsed/>
    <w:rsid w:val="00E77964"/>
    <w:pPr>
      <w:spacing w:before="100" w:beforeAutospacing="1" w:after="100" w:afterAutospacing="1"/>
    </w:pPr>
  </w:style>
  <w:style w:type="character" w:customStyle="1" w:styleId="Heading1Char">
    <w:name w:val="Heading 1 Char"/>
    <w:basedOn w:val="DefaultParagraphFont"/>
    <w:link w:val="Heading1"/>
    <w:rsid w:val="00E7796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779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7796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7964"/>
    <w:rPr>
      <w:b/>
      <w:bCs/>
    </w:rPr>
  </w:style>
  <w:style w:type="paragraph" w:styleId="NormalWeb">
    <w:name w:val="Normal (Web)"/>
    <w:basedOn w:val="Normal"/>
    <w:uiPriority w:val="99"/>
    <w:unhideWhenUsed/>
    <w:rsid w:val="00E77964"/>
    <w:pPr>
      <w:spacing w:before="100" w:beforeAutospacing="1" w:after="100" w:afterAutospacing="1"/>
    </w:pPr>
  </w:style>
  <w:style w:type="character" w:customStyle="1" w:styleId="Heading1Char">
    <w:name w:val="Heading 1 Char"/>
    <w:basedOn w:val="DefaultParagraphFont"/>
    <w:link w:val="Heading1"/>
    <w:rsid w:val="00E779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6647">
      <w:bodyDiv w:val="1"/>
      <w:marLeft w:val="0"/>
      <w:marRight w:val="0"/>
      <w:marTop w:val="0"/>
      <w:marBottom w:val="0"/>
      <w:divBdr>
        <w:top w:val="none" w:sz="0" w:space="0" w:color="auto"/>
        <w:left w:val="none" w:sz="0" w:space="0" w:color="auto"/>
        <w:bottom w:val="none" w:sz="0" w:space="0" w:color="auto"/>
        <w:right w:val="none" w:sz="0" w:space="0" w:color="auto"/>
      </w:divBdr>
    </w:div>
    <w:div w:id="1778256820">
      <w:bodyDiv w:val="1"/>
      <w:marLeft w:val="0"/>
      <w:marRight w:val="0"/>
      <w:marTop w:val="0"/>
      <w:marBottom w:val="0"/>
      <w:divBdr>
        <w:top w:val="none" w:sz="0" w:space="0" w:color="auto"/>
        <w:left w:val="none" w:sz="0" w:space="0" w:color="auto"/>
        <w:bottom w:val="none" w:sz="0" w:space="0" w:color="auto"/>
        <w:right w:val="none" w:sz="0" w:space="0" w:color="auto"/>
      </w:divBdr>
    </w:div>
    <w:div w:id="18118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EA589-AA4D-4DEA-BD7B-A1A9E3E1B681}"/>
</file>

<file path=customXml/itemProps2.xml><?xml version="1.0" encoding="utf-8"?>
<ds:datastoreItem xmlns:ds="http://schemas.openxmlformats.org/officeDocument/2006/customXml" ds:itemID="{F81636CC-18A4-4C0D-8974-9B4C7D10C79B}"/>
</file>

<file path=customXml/itemProps3.xml><?xml version="1.0" encoding="utf-8"?>
<ds:datastoreItem xmlns:ds="http://schemas.openxmlformats.org/officeDocument/2006/customXml" ds:itemID="{5E94236A-905C-423E-A93F-4DFAE5774AB8}"/>
</file>

<file path=customXml/itemProps4.xml><?xml version="1.0" encoding="utf-8"?>
<ds:datastoreItem xmlns:ds="http://schemas.openxmlformats.org/officeDocument/2006/customXml" ds:itemID="{E35978CD-BB68-49CE-ACED-16423063D2E8}"/>
</file>

<file path=docProps/app.xml><?xml version="1.0" encoding="utf-8"?>
<Properties xmlns="http://schemas.openxmlformats.org/officeDocument/2006/extended-properties" xmlns:vt="http://schemas.openxmlformats.org/officeDocument/2006/docPropsVTypes">
  <Template>Normal.dotm</Template>
  <TotalTime>7</TotalTime>
  <Pages>2</Pages>
  <Words>592</Words>
  <Characters>3380</Characters>
  <Application>Microsoft Office Word</Application>
  <DocSecurity>0</DocSecurity>
  <Lines>28</Lines>
  <Paragraphs>7</Paragraphs>
  <ScaleCrop>false</ScaleCrop>
  <Company>VN</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3</cp:revision>
  <dcterms:created xsi:type="dcterms:W3CDTF">2015-04-27T01:41:00Z</dcterms:created>
  <dcterms:modified xsi:type="dcterms:W3CDTF">2015-04-27T01:48:00Z</dcterms:modified>
</cp:coreProperties>
</file>